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76"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11 (Continuous Improvement) </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r w:rsidDel="00000000" w:rsidR="00000000" w:rsidRPr="00000000">
        <w:rPr>
          <w:rtl w:val="0"/>
        </w:rPr>
        <w:t xml:space="preserve">The Supplier must provide a minimum of 10 suggestions during the life of the contract, as per the KPI in this regard.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1.1,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w:t>
      </w:r>
      <w:r w:rsidDel="00000000" w:rsidR="00000000" w:rsidRPr="00000000">
        <w:rPr>
          <w:rtl w:val="0"/>
        </w:rPr>
        <w:t xml:space="preserve">could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r w:rsidDel="00000000" w:rsidR="00000000" w:rsidRPr="00000000">
        <w:rPr>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tyjcwt" w:id="5"/>
      <w:bookmarkEnd w:id="5"/>
      <w:r w:rsidDel="00000000" w:rsidR="00000000" w:rsidRPr="00000000">
        <w:rPr>
          <w:rtl w:val="0"/>
        </w:rPr>
        <w:t xml:space="preserve">If the Buyer wishes to incorporate any improvement into this Contract, it must request a Variation in accordance with the Variation Procedure and the Supplier must implement such Variation at no additional cost to the Buyer.</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0D">
      <w:pPr>
        <w:numPr>
          <w:ilvl w:val="1"/>
          <w:numId w:val="1"/>
        </w:numPr>
        <w:tabs>
          <w:tab w:val="left" w:leader="none" w:pos="-29"/>
        </w:tabs>
        <w:spacing w:after="120" w:before="120" w:lineRule="auto"/>
        <w:ind w:left="907" w:hanging="547"/>
        <w:jc w:val="left"/>
        <w:rPr/>
      </w:pPr>
      <w:r w:rsidDel="00000000" w:rsidR="00000000" w:rsidRPr="00000000">
        <w:rPr>
          <w:rtl w:val="0"/>
        </w:rPr>
        <w:t xml:space="preserve">Continuous Improvement </w:t>
      </w:r>
      <w:r w:rsidDel="00000000" w:rsidR="00000000" w:rsidRPr="00000000">
        <w:rPr>
          <w:rtl w:val="0"/>
        </w:rPr>
        <w:t xml:space="preserve">initiatives</w:t>
      </w:r>
      <w:r w:rsidDel="00000000" w:rsidR="00000000" w:rsidRPr="00000000">
        <w:rPr>
          <w:rtl w:val="0"/>
        </w:rPr>
        <w:t xml:space="preserve"> should deliver additional performance and/or commercial benefits to the NFI and/or the NFI Data Matching Service, including the NFI users.</w:t>
      </w:r>
    </w:p>
    <w:p w:rsidR="00000000" w:rsidDel="00000000" w:rsidP="00000000" w:rsidRDefault="00000000" w:rsidRPr="00000000" w14:paraId="0000000E">
      <w:pPr>
        <w:numPr>
          <w:ilvl w:val="1"/>
          <w:numId w:val="1"/>
        </w:numPr>
        <w:tabs>
          <w:tab w:val="left" w:leader="none" w:pos="-29"/>
        </w:tabs>
        <w:spacing w:after="120" w:before="120" w:lineRule="auto"/>
        <w:ind w:left="907" w:hanging="547"/>
        <w:jc w:val="left"/>
        <w:rPr>
          <w:u w:val="none"/>
        </w:rPr>
      </w:pPr>
      <w:r w:rsidDel="00000000" w:rsidR="00000000" w:rsidRPr="00000000">
        <w:rPr>
          <w:rtl w:val="0"/>
        </w:rPr>
        <w:t xml:space="preserve">All Continuous Improvement initiatives, where appropriate, must outline, as a minimum, the following:</w:t>
      </w:r>
    </w:p>
    <w:p w:rsidR="00000000" w:rsidDel="00000000" w:rsidP="00000000" w:rsidRDefault="00000000" w:rsidRPr="00000000" w14:paraId="0000000F">
      <w:pPr>
        <w:numPr>
          <w:ilvl w:val="2"/>
          <w:numId w:val="1"/>
        </w:numPr>
        <w:tabs>
          <w:tab w:val="left" w:leader="none" w:pos="-29"/>
        </w:tabs>
        <w:spacing w:after="120" w:before="120" w:lineRule="auto"/>
        <w:ind w:left="1757" w:hanging="850.0000000000001"/>
        <w:jc w:val="left"/>
        <w:rPr>
          <w:u w:val="none"/>
        </w:rPr>
      </w:pPr>
      <w:r w:rsidDel="00000000" w:rsidR="00000000" w:rsidRPr="00000000">
        <w:rPr>
          <w:rtl w:val="0"/>
        </w:rPr>
        <w:t xml:space="preserve">Investment requirements, including effort and costs, as appropriate</w:t>
      </w:r>
    </w:p>
    <w:p w:rsidR="00000000" w:rsidDel="00000000" w:rsidP="00000000" w:rsidRDefault="00000000" w:rsidRPr="00000000" w14:paraId="00000010">
      <w:pPr>
        <w:numPr>
          <w:ilvl w:val="2"/>
          <w:numId w:val="1"/>
        </w:numPr>
        <w:tabs>
          <w:tab w:val="left" w:leader="none" w:pos="-29"/>
        </w:tabs>
        <w:spacing w:after="120" w:before="120" w:lineRule="auto"/>
        <w:ind w:left="1757" w:hanging="850.0000000000001"/>
        <w:jc w:val="left"/>
        <w:rPr>
          <w:u w:val="none"/>
        </w:rPr>
      </w:pPr>
      <w:r w:rsidDel="00000000" w:rsidR="00000000" w:rsidRPr="00000000">
        <w:rPr>
          <w:rtl w:val="0"/>
        </w:rPr>
        <w:t xml:space="preserve">Qualitative and </w:t>
      </w:r>
      <w:r w:rsidDel="00000000" w:rsidR="00000000" w:rsidRPr="00000000">
        <w:rPr>
          <w:rtl w:val="0"/>
        </w:rPr>
        <w:t xml:space="preserve">quantitative</w:t>
      </w:r>
      <w:r w:rsidDel="00000000" w:rsidR="00000000" w:rsidRPr="00000000">
        <w:rPr>
          <w:rtl w:val="0"/>
        </w:rPr>
        <w:t xml:space="preserve"> benefits</w:t>
      </w:r>
    </w:p>
    <w:p w:rsidR="00000000" w:rsidDel="00000000" w:rsidP="00000000" w:rsidRDefault="00000000" w:rsidRPr="00000000" w14:paraId="00000011">
      <w:pPr>
        <w:numPr>
          <w:ilvl w:val="2"/>
          <w:numId w:val="1"/>
        </w:numPr>
        <w:tabs>
          <w:tab w:val="left" w:leader="none" w:pos="-29"/>
        </w:tabs>
        <w:spacing w:after="120" w:before="120" w:lineRule="auto"/>
        <w:ind w:left="1757" w:hanging="850.0000000000001"/>
        <w:jc w:val="left"/>
        <w:rPr>
          <w:u w:val="none"/>
        </w:rPr>
      </w:pPr>
      <w:r w:rsidDel="00000000" w:rsidR="00000000" w:rsidRPr="00000000">
        <w:rPr>
          <w:rtl w:val="0"/>
        </w:rPr>
        <w:t xml:space="preserve">An established baseline </w:t>
      </w:r>
    </w:p>
    <w:p w:rsidR="00000000" w:rsidDel="00000000" w:rsidP="00000000" w:rsidRDefault="00000000" w:rsidRPr="00000000" w14:paraId="00000012">
      <w:pPr>
        <w:numPr>
          <w:ilvl w:val="2"/>
          <w:numId w:val="1"/>
        </w:numPr>
        <w:tabs>
          <w:tab w:val="left" w:leader="none" w:pos="-29"/>
        </w:tabs>
        <w:spacing w:after="120" w:before="120" w:lineRule="auto"/>
        <w:ind w:left="1757" w:hanging="850.0000000000001"/>
        <w:jc w:val="left"/>
        <w:rPr>
          <w:u w:val="none"/>
        </w:rPr>
      </w:pPr>
      <w:r w:rsidDel="00000000" w:rsidR="00000000" w:rsidRPr="00000000">
        <w:rPr>
          <w:rtl w:val="0"/>
        </w:rPr>
        <w:t xml:space="preserve">Target outputs</w:t>
      </w:r>
    </w:p>
    <w:p w:rsidR="00000000" w:rsidDel="00000000" w:rsidP="00000000" w:rsidRDefault="00000000" w:rsidRPr="00000000" w14:paraId="00000013">
      <w:pPr>
        <w:numPr>
          <w:ilvl w:val="2"/>
          <w:numId w:val="1"/>
        </w:numPr>
        <w:tabs>
          <w:tab w:val="left" w:leader="none" w:pos="-29"/>
        </w:tabs>
        <w:spacing w:after="120" w:before="120" w:lineRule="auto"/>
        <w:ind w:left="1757" w:hanging="850.0000000000001"/>
        <w:jc w:val="left"/>
        <w:rPr>
          <w:u w:val="none"/>
        </w:rPr>
      </w:pPr>
      <w:r w:rsidDel="00000000" w:rsidR="00000000" w:rsidRPr="00000000">
        <w:rPr>
          <w:rtl w:val="0"/>
        </w:rPr>
        <w:t xml:space="preserve">Key deliverables</w:t>
      </w:r>
    </w:p>
    <w:p w:rsidR="00000000" w:rsidDel="00000000" w:rsidP="00000000" w:rsidRDefault="00000000" w:rsidRPr="00000000" w14:paraId="00000014">
      <w:pPr>
        <w:numPr>
          <w:ilvl w:val="2"/>
          <w:numId w:val="1"/>
        </w:numPr>
        <w:tabs>
          <w:tab w:val="left" w:leader="none" w:pos="-29"/>
        </w:tabs>
        <w:spacing w:after="120" w:before="120" w:lineRule="auto"/>
        <w:ind w:left="1757" w:hanging="850.0000000000001"/>
        <w:jc w:val="left"/>
        <w:rPr>
          <w:u w:val="none"/>
        </w:rPr>
      </w:pPr>
      <w:r w:rsidDel="00000000" w:rsidR="00000000" w:rsidRPr="00000000">
        <w:rPr>
          <w:rtl w:val="0"/>
        </w:rPr>
        <w:t xml:space="preserve">A scope</w:t>
      </w:r>
    </w:p>
    <w:p w:rsidR="00000000" w:rsidDel="00000000" w:rsidP="00000000" w:rsidRDefault="00000000" w:rsidRPr="00000000" w14:paraId="00000015">
      <w:pPr>
        <w:numPr>
          <w:ilvl w:val="2"/>
          <w:numId w:val="1"/>
        </w:numPr>
        <w:tabs>
          <w:tab w:val="left" w:leader="none" w:pos="-29"/>
        </w:tabs>
        <w:spacing w:after="120" w:before="120" w:lineRule="auto"/>
        <w:ind w:left="1757" w:hanging="850.0000000000001"/>
        <w:jc w:val="left"/>
        <w:rPr>
          <w:u w:val="none"/>
        </w:rPr>
      </w:pPr>
      <w:r w:rsidDel="00000000" w:rsidR="00000000" w:rsidRPr="00000000">
        <w:rPr>
          <w:rtl w:val="0"/>
        </w:rPr>
        <w:t xml:space="preserve">Delivery and implementation plans, as appropriate</w:t>
      </w:r>
    </w:p>
    <w:p w:rsidR="00000000" w:rsidDel="00000000" w:rsidP="00000000" w:rsidRDefault="00000000" w:rsidRPr="00000000" w14:paraId="00000016">
      <w:pPr>
        <w:numPr>
          <w:ilvl w:val="2"/>
          <w:numId w:val="1"/>
        </w:numPr>
        <w:tabs>
          <w:tab w:val="left" w:leader="none" w:pos="-29"/>
        </w:tabs>
        <w:spacing w:after="120" w:before="120" w:lineRule="auto"/>
        <w:ind w:left="1757" w:hanging="850.0000000000001"/>
        <w:jc w:val="left"/>
        <w:rPr>
          <w:u w:val="none"/>
        </w:rPr>
      </w:pPr>
      <w:r w:rsidDel="00000000" w:rsidR="00000000" w:rsidRPr="00000000">
        <w:rPr>
          <w:rtl w:val="0"/>
        </w:rPr>
        <w:t xml:space="preserve">Impact assessments, as appropriate</w:t>
      </w:r>
    </w:p>
    <w:p w:rsidR="00000000" w:rsidDel="00000000" w:rsidP="00000000" w:rsidRDefault="00000000" w:rsidRPr="00000000" w14:paraId="00000017">
      <w:pPr>
        <w:numPr>
          <w:ilvl w:val="2"/>
          <w:numId w:val="1"/>
        </w:numPr>
        <w:tabs>
          <w:tab w:val="left" w:leader="none" w:pos="-29"/>
        </w:tabs>
        <w:spacing w:after="120" w:before="120" w:lineRule="auto"/>
        <w:ind w:left="1757" w:hanging="850.0000000000001"/>
        <w:jc w:val="left"/>
        <w:rPr>
          <w:u w:val="none"/>
        </w:rPr>
      </w:pPr>
      <w:r w:rsidDel="00000000" w:rsidR="00000000" w:rsidRPr="00000000">
        <w:rPr>
          <w:rtl w:val="0"/>
        </w:rPr>
        <w:t xml:space="preserve">Reporting and monitoring regimes</w:t>
      </w:r>
    </w:p>
    <w:p w:rsidR="00000000" w:rsidDel="00000000" w:rsidP="00000000" w:rsidRDefault="00000000" w:rsidRPr="00000000" w14:paraId="00000018">
      <w:pPr>
        <w:numPr>
          <w:ilvl w:val="1"/>
          <w:numId w:val="1"/>
        </w:numPr>
        <w:tabs>
          <w:tab w:val="left" w:leader="none" w:pos="-29"/>
        </w:tabs>
        <w:spacing w:after="120" w:before="120" w:lineRule="auto"/>
        <w:ind w:left="907" w:hanging="547"/>
        <w:jc w:val="left"/>
        <w:rPr/>
      </w:pPr>
      <w:r w:rsidDel="00000000" w:rsidR="00000000" w:rsidRPr="00000000">
        <w:rPr>
          <w:rtl w:val="0"/>
        </w:rPr>
        <w:t xml:space="preserve">All Continuous Improvement initiatives are subject to:</w:t>
      </w:r>
    </w:p>
    <w:p w:rsidR="00000000" w:rsidDel="00000000" w:rsidP="00000000" w:rsidRDefault="00000000" w:rsidRPr="00000000" w14:paraId="00000019">
      <w:pPr>
        <w:numPr>
          <w:ilvl w:val="2"/>
          <w:numId w:val="1"/>
        </w:numPr>
        <w:tabs>
          <w:tab w:val="left" w:leader="none" w:pos="-29"/>
        </w:tabs>
        <w:spacing w:after="120" w:before="120" w:lineRule="auto"/>
        <w:ind w:left="1757" w:hanging="850.0000000000001"/>
        <w:jc w:val="left"/>
        <w:rPr/>
      </w:pPr>
      <w:r w:rsidDel="00000000" w:rsidR="00000000" w:rsidRPr="00000000">
        <w:rPr>
          <w:rtl w:val="0"/>
        </w:rPr>
        <w:t xml:space="preserve">the relevant governance; and</w:t>
      </w:r>
    </w:p>
    <w:p w:rsidR="00000000" w:rsidDel="00000000" w:rsidP="00000000" w:rsidRDefault="00000000" w:rsidRPr="00000000" w14:paraId="0000001A">
      <w:pPr>
        <w:numPr>
          <w:ilvl w:val="2"/>
          <w:numId w:val="1"/>
        </w:numPr>
        <w:tabs>
          <w:tab w:val="left" w:leader="none" w:pos="-29"/>
        </w:tabs>
        <w:spacing w:after="120" w:before="120" w:lineRule="auto"/>
        <w:ind w:left="1757" w:hanging="850.0000000000001"/>
        <w:jc w:val="left"/>
        <w:rPr/>
      </w:pPr>
      <w:r w:rsidDel="00000000" w:rsidR="00000000" w:rsidRPr="00000000">
        <w:rPr>
          <w:rtl w:val="0"/>
        </w:rPr>
        <w:t xml:space="preserve">the relevant processes e.g. change control.</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pPr>
      <w:r w:rsidDel="00000000" w:rsidR="00000000" w:rsidRPr="00000000">
        <w:rPr>
          <w:rtl w:val="0"/>
        </w:rPr>
        <w:t xml:space="preserve">All Continuous Improvement initiatives should be documented using the relevant format e.g. contract change note, statement of works and or the </w:t>
      </w:r>
      <w:r w:rsidDel="00000000" w:rsidR="00000000" w:rsidRPr="00000000">
        <w:rPr>
          <w:rtl w:val="0"/>
        </w:rPr>
        <w:t xml:space="preserve">Continuous Improvement Initiative Submission Form</w:t>
      </w:r>
      <w:r w:rsidDel="00000000" w:rsidR="00000000" w:rsidRPr="00000000">
        <w:rPr>
          <w:rtl w:val="0"/>
        </w:rPr>
        <w:t xml:space="preserve"> (Annex 1).</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right="0"/>
        <w:jc w:val="left"/>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right="0"/>
        <w:jc w:val="left"/>
        <w:rPr/>
      </w:pPr>
      <w:r w:rsidDel="00000000" w:rsidR="00000000" w:rsidRPr="00000000">
        <w:rPr>
          <w:rtl w:val="0"/>
        </w:rPr>
      </w:r>
    </w:p>
    <w:p w:rsidR="00000000" w:rsidDel="00000000" w:rsidP="00000000" w:rsidRDefault="00000000" w:rsidRPr="00000000" w14:paraId="0000001E">
      <w:pPr>
        <w:tabs>
          <w:tab w:val="center" w:leader="none" w:pos="4513"/>
          <w:tab w:val="right" w:leader="none" w:pos="9026"/>
        </w:tabs>
        <w:spacing w:after="200" w:line="276" w:lineRule="auto"/>
        <w:jc w:val="left"/>
        <w:rPr>
          <w:b w:val="1"/>
          <w:sz w:val="36"/>
          <w:szCs w:val="36"/>
        </w:rPr>
      </w:pPr>
      <w:bookmarkStart w:colFirst="0" w:colLast="0" w:name="_heading=h.kyqrd1aec0rw" w:id="7"/>
      <w:bookmarkEnd w:id="7"/>
      <w:r w:rsidDel="00000000" w:rsidR="00000000" w:rsidRPr="00000000">
        <w:rPr>
          <w:rtl w:val="0"/>
        </w:rPr>
      </w:r>
    </w:p>
    <w:p w:rsidR="00000000" w:rsidDel="00000000" w:rsidP="00000000" w:rsidRDefault="00000000" w:rsidRPr="00000000" w14:paraId="0000001F">
      <w:pPr>
        <w:tabs>
          <w:tab w:val="center" w:leader="none" w:pos="4513"/>
          <w:tab w:val="right" w:leader="none" w:pos="9026"/>
        </w:tabs>
        <w:spacing w:after="200" w:line="276" w:lineRule="auto"/>
        <w:jc w:val="left"/>
        <w:rPr/>
      </w:pPr>
      <w:bookmarkStart w:colFirst="0" w:colLast="0" w:name="_heading=h.gjdgxs" w:id="0"/>
      <w:bookmarkEnd w:id="0"/>
      <w:r w:rsidDel="00000000" w:rsidR="00000000" w:rsidRPr="00000000">
        <w:rPr>
          <w:b w:val="1"/>
          <w:sz w:val="36"/>
          <w:szCs w:val="36"/>
          <w:rtl w:val="0"/>
        </w:rPr>
        <w:t xml:space="preserve">Annex 1 - Continuous Improvement Initiative Submission Form </w:t>
      </w:r>
      <w:r w:rsidDel="00000000" w:rsidR="00000000" w:rsidRPr="00000000">
        <w:rPr>
          <w:rtl w:val="0"/>
        </w:rPr>
      </w:r>
    </w:p>
    <w:p w:rsidR="00000000" w:rsidDel="00000000" w:rsidP="00000000" w:rsidRDefault="00000000" w:rsidRPr="00000000" w14:paraId="00000020">
      <w:pPr>
        <w:spacing w:after="0" w:lineRule="auto"/>
        <w:rPr/>
      </w:pPr>
      <w:r w:rsidDel="00000000" w:rsidR="00000000" w:rsidRPr="00000000">
        <w:rPr/>
        <w:drawing>
          <wp:inline distB="114300" distT="114300" distL="114300" distR="114300">
            <wp:extent cx="5731200" cy="84328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731200" cy="8432800"/>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spacing w:after="0" w:lineRule="auto"/>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29">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v.1.2</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Rule="auto"/>
      <w:rPr>
        <w:color w:val="a6a6a6"/>
        <w:sz w:val="20"/>
        <w:szCs w:val="20"/>
      </w:rPr>
    </w:pPr>
    <w:r w:rsidDel="00000000" w:rsidR="00000000" w:rsidRPr="00000000">
      <w:rPr>
        <w:color w:val="a6a6a6"/>
        <w:sz w:val="20"/>
        <w:szCs w:val="20"/>
        <w:rtl w:val="0"/>
      </w:rPr>
      <w:tab/>
      <w:t xml:space="preserve">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ab/>
      <w:tab/>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4"/>
        <w:szCs w:val="24"/>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a6a6a6"/>
        <w:sz w:val="24"/>
        <w:szCs w:val="24"/>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11 (Continuous Improvement), 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 [Subject to Contract]</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Arial" w:cs="Arial" w:eastAsia="Times New Roman" w:hAnsi="Arial"/>
      <w:sz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rPr>
      <w:sz w:val="36"/>
    </w:rPr>
  </w:style>
  <w:style w:type="character" w:styleId="HeaderChar" w:customStyle="1">
    <w:name w:val="Header Char"/>
    <w:basedOn w:val="DefaultParagraphFont"/>
    <w:link w:val="Header"/>
    <w:uiPriority w:val="99"/>
    <w:rPr>
      <w:rFonts w:ascii="Arial" w:cs="Arial" w:eastAsia="Times New Roman" w:hAnsi="Arial"/>
      <w:sz w:val="36"/>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keepNext w:val="1"/>
      <w:numPr>
        <w:numId w:val="2"/>
      </w:numPr>
      <w:tabs>
        <w:tab w:val="left" w:pos="142"/>
      </w:tabs>
      <w:overflowPunct w:val="1"/>
      <w:autoSpaceDE w:val="1"/>
      <w:autoSpaceDN w:val="1"/>
      <w:spacing w:after="120" w:before="120"/>
      <w:jc w:val="left"/>
      <w:textAlignment w:val="auto"/>
      <w:outlineLvl w:val="1"/>
    </w:pPr>
    <w:rPr>
      <w:rFonts w:ascii="Arial Bold" w:eastAsia="STZhongsong" w:hAnsi="Arial Bold"/>
      <w:b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jc w:val="left"/>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Arial" w:cs="Arial" w:eastAsia="Times New Roman" w:hAnsi="Arial"/>
      <w:sz w:val="24"/>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Arial" w:cs="Arial" w:eastAsia="Times New Roman" w:hAnsi="Arial"/>
      <w:sz w:val="24"/>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pPr>
      <w:outlineLvl w:val="9"/>
    </w:pPr>
    <w:rPr>
      <w:b w:val="0"/>
      <w:caps w:val="1"/>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jc w:val="left"/>
    </w:pPr>
    <w:rPr>
      <w:b w:val="0"/>
    </w:rPr>
  </w:style>
  <w:style w:type="character" w:styleId="GPSL2NumberedChar" w:customStyle="1">
    <w:name w:val="GPS L2 Numbered Char"/>
    <w:link w:val="GPSL2Numbered"/>
    <w:locked w:val="1"/>
    <w:rPr>
      <w:rFonts w:ascii="Arial" w:cs="Arial" w:eastAsia="Times New Roman" w:hAnsi="Arial"/>
      <w:sz w:val="24"/>
      <w:lang w:eastAsia="zh-CN"/>
    </w:rPr>
  </w:style>
  <w:style w:type="character" w:styleId="GPSL1SCHEDULEHeadingChar" w:customStyle="1">
    <w:name w:val="GPS L1 SCHEDULE Heading Char"/>
    <w:link w:val="GPSL1SCHEDULEHeading"/>
    <w:locked w:val="1"/>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Arial Bold" w:cs="Arial" w:eastAsia="STZhongsong" w:hAnsi="Arial Bold"/>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zXMq20VHzXJdjSp31Kk67t7Xhg==">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2023-10-04T15:23:00Z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eca382d7-4445-442d-bf1e-96190dc81c1c</vt:lpwstr>
  </property>
  <property fmtid="{D5CDD505-2E9C-101B-9397-08002B2CF9AE}" pid="3" name="Plato EditorId">
    <vt:lpwstr>eca382d7-4445-442d-bf1e-96190dc81c1c</vt:lpwstr>
  </property>
</Properties>
</file>